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1"/>
        <w:gridCol w:w="2014"/>
        <w:gridCol w:w="2600"/>
      </w:tblGrid>
      <w:tr w:rsidR="006B007A" w:rsidRPr="00A95120" w:rsidTr="0008084C">
        <w:trPr>
          <w:trHeight w:val="329"/>
        </w:trPr>
        <w:tc>
          <w:tcPr>
            <w:tcW w:w="2198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</w:pPr>
            <w:r w:rsidRPr="00A95120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TV STATIONS</w:t>
            </w:r>
          </w:p>
        </w:tc>
        <w:tc>
          <w:tcPr>
            <w:tcW w:w="219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</w:pPr>
            <w:r w:rsidRPr="00A95120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AFFILIATE</w:t>
            </w:r>
          </w:p>
        </w:tc>
        <w:tc>
          <w:tcPr>
            <w:tcW w:w="2229" w:type="dxa"/>
            <w:tcBorders>
              <w:top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</w:pPr>
            <w:r w:rsidRPr="00A95120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LOCAL/SATELLITE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top w:val="single" w:sz="18" w:space="0" w:color="auto"/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WUVF-LP</w:t>
            </w:r>
          </w:p>
        </w:tc>
        <w:tc>
          <w:tcPr>
            <w:tcW w:w="2198" w:type="dxa"/>
            <w:tcBorders>
              <w:top w:val="single" w:sz="18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Univision</w:t>
            </w:r>
          </w:p>
        </w:tc>
        <w:tc>
          <w:tcPr>
            <w:tcW w:w="2229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6B007A" w:rsidRPr="00A95120" w:rsidTr="0008084C">
        <w:trPr>
          <w:trHeight w:val="272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WINK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CBS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WTPH-LP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Azteca America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WTLE-LP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Unimas</w:t>
            </w:r>
            <w:proofErr w:type="spellEnd"/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WBBH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NBC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WZVN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ABC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</w:tr>
      <w:tr w:rsidR="006B007A" w:rsidRPr="00A95120" w:rsidTr="0008084C">
        <w:trPr>
          <w:trHeight w:val="272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WGCU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PBS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WFTX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FOX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36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WWDT-CA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Telemundo</w:t>
            </w:r>
            <w:proofErr w:type="spellEnd"/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43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WXCW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CW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46</w:t>
            </w:r>
          </w:p>
        </w:tc>
      </w:tr>
      <w:tr w:rsidR="006B007A" w:rsidRPr="00A95120" w:rsidTr="0008084C">
        <w:trPr>
          <w:trHeight w:val="272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WRXY</w:t>
            </w:r>
          </w:p>
        </w:tc>
        <w:tc>
          <w:tcPr>
            <w:tcW w:w="2198" w:type="dxa"/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CTN (Religious)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49</w:t>
            </w:r>
          </w:p>
        </w:tc>
      </w:tr>
      <w:tr w:rsidR="006B007A" w:rsidRPr="00A95120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WLZE-LP</w:t>
            </w:r>
          </w:p>
        </w:tc>
        <w:tc>
          <w:tcPr>
            <w:tcW w:w="2198" w:type="dxa"/>
            <w:tcBorders>
              <w:bottom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Univision</w:t>
            </w:r>
          </w:p>
        </w:tc>
        <w:tc>
          <w:tcPr>
            <w:tcW w:w="2229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6B007A" w:rsidRPr="00A95120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51</w:t>
            </w:r>
          </w:p>
        </w:tc>
      </w:tr>
    </w:tbl>
    <w:tbl>
      <w:tblPr>
        <w:tblStyle w:val="TableGrid"/>
        <w:tblpPr w:leftFromText="180" w:rightFromText="180" w:vertAnchor="text" w:tblpY="207"/>
        <w:tblW w:w="6627" w:type="dxa"/>
        <w:tblLook w:val="04A0" w:firstRow="1" w:lastRow="0" w:firstColumn="1" w:lastColumn="0" w:noHBand="0" w:noVBand="1"/>
      </w:tblPr>
      <w:tblGrid>
        <w:gridCol w:w="1415"/>
        <w:gridCol w:w="761"/>
        <w:gridCol w:w="1569"/>
        <w:gridCol w:w="872"/>
        <w:gridCol w:w="1194"/>
        <w:gridCol w:w="816"/>
      </w:tblGrid>
      <w:tr w:rsidR="0008084C" w:rsidRPr="00A95120" w:rsidTr="0008084C">
        <w:trPr>
          <w:trHeight w:val="225"/>
        </w:trPr>
        <w:tc>
          <w:tcPr>
            <w:tcW w:w="6626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</w:pPr>
            <w:r w:rsidRPr="00A95120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RADIO – FM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top w:val="single" w:sz="18" w:space="0" w:color="auto"/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WJIS</w:t>
            </w:r>
          </w:p>
        </w:tc>
        <w:tc>
          <w:tcPr>
            <w:tcW w:w="761" w:type="dxa"/>
            <w:tcBorders>
              <w:top w:val="single" w:sz="18" w:space="0" w:color="auto"/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88.1</w:t>
            </w:r>
          </w:p>
        </w:tc>
        <w:tc>
          <w:tcPr>
            <w:tcW w:w="1569" w:type="dxa"/>
            <w:tcBorders>
              <w:top w:val="single" w:sz="18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WOLZ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95.3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WHPT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102.5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top w:val="single" w:sz="6" w:space="0" w:color="auto"/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WBIY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88.3</w:t>
            </w:r>
          </w:p>
        </w:tc>
        <w:tc>
          <w:tcPr>
            <w:tcW w:w="1569" w:type="dxa"/>
            <w:tcBorders>
              <w:top w:val="single" w:sz="6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WRXK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96.1</w:t>
            </w:r>
          </w:p>
        </w:tc>
        <w:tc>
          <w:tcPr>
            <w:tcW w:w="1194" w:type="dxa"/>
            <w:tcBorders>
              <w:top w:val="single" w:sz="6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WJGO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102.9</w:t>
            </w:r>
          </w:p>
        </w:tc>
      </w:tr>
      <w:tr w:rsidR="0008084C" w:rsidRPr="00A95120" w:rsidTr="0008084C">
        <w:trPr>
          <w:trHeight w:val="225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WDLV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88.7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993663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W243BM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993663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96.5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W277AP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103.3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WAYJ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89.5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WINK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96.9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WXKB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103.9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WGCU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90.1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W247AQ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97.3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WSGL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104.7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WSOR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90.9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WTLQ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97.7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WCVU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104.9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WJYO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91.5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W251AL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98.1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WBTT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105.5</w:t>
            </w:r>
          </w:p>
        </w:tc>
      </w:tr>
      <w:tr w:rsidR="0008084C" w:rsidRPr="00A95120" w:rsidTr="0008084C">
        <w:trPr>
          <w:trHeight w:val="225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WMYE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91.9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WLVO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98.5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WJPT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106.3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WFSX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92.5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WWCN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99.3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W294AN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106.7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WIKX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92.9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WZJZ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100.1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WCKT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107.1</w:t>
            </w: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WWDH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93.3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W263BI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100.5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084C" w:rsidRPr="00A95120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WXNX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93.7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WAVV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101.1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084C" w:rsidRPr="00A95120" w:rsidTr="0008084C">
        <w:trPr>
          <w:trHeight w:val="225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993663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W251BX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A95120" w:rsidRDefault="00993663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94.1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WWGR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101.9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084C" w:rsidRPr="00A95120" w:rsidTr="0008084C">
        <w:trPr>
          <w:trHeight w:val="251"/>
        </w:trPr>
        <w:tc>
          <w:tcPr>
            <w:tcW w:w="1415" w:type="dxa"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WARO</w:t>
            </w:r>
          </w:p>
        </w:tc>
        <w:tc>
          <w:tcPr>
            <w:tcW w:w="761" w:type="dxa"/>
            <w:tcBorders>
              <w:left w:val="nil"/>
              <w:bottom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94.5</w:t>
            </w:r>
          </w:p>
        </w:tc>
        <w:tc>
          <w:tcPr>
            <w:tcW w:w="1569" w:type="dxa"/>
            <w:tcBorders>
              <w:bottom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W272BM</w:t>
            </w:r>
          </w:p>
        </w:tc>
        <w:tc>
          <w:tcPr>
            <w:tcW w:w="872" w:type="dxa"/>
            <w:tcBorders>
              <w:left w:val="nil"/>
              <w:bottom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120">
              <w:rPr>
                <w:rFonts w:ascii="Arial" w:hAnsi="Arial" w:cs="Arial"/>
                <w:color w:val="auto"/>
                <w:sz w:val="22"/>
                <w:szCs w:val="22"/>
              </w:rPr>
              <w:t>102.3</w:t>
            </w:r>
          </w:p>
        </w:tc>
        <w:tc>
          <w:tcPr>
            <w:tcW w:w="1194" w:type="dxa"/>
            <w:tcBorders>
              <w:bottom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0289E" w:rsidRPr="00A95120" w:rsidRDefault="0050289E" w:rsidP="006B007A">
      <w:pPr>
        <w:pStyle w:val="Defaul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-22"/>
        <w:tblW w:w="6632" w:type="dxa"/>
        <w:tblLayout w:type="fixed"/>
        <w:tblLook w:val="04A0" w:firstRow="1" w:lastRow="0" w:firstColumn="1" w:lastColumn="0" w:noHBand="0" w:noVBand="1"/>
      </w:tblPr>
      <w:tblGrid>
        <w:gridCol w:w="1306"/>
        <w:gridCol w:w="840"/>
        <w:gridCol w:w="1781"/>
        <w:gridCol w:w="840"/>
        <w:gridCol w:w="1118"/>
        <w:gridCol w:w="747"/>
      </w:tblGrid>
      <w:tr w:rsidR="0008084C" w:rsidRPr="00A95120" w:rsidTr="0008084C">
        <w:trPr>
          <w:trHeight w:val="181"/>
        </w:trPr>
        <w:tc>
          <w:tcPr>
            <w:tcW w:w="6632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b/>
                <w:i/>
                <w:sz w:val="26"/>
                <w:szCs w:val="26"/>
              </w:rPr>
            </w:pPr>
            <w:r w:rsidRPr="00A95120">
              <w:rPr>
                <w:rFonts w:cs="Arial"/>
                <w:b/>
                <w:i/>
                <w:sz w:val="26"/>
                <w:szCs w:val="26"/>
              </w:rPr>
              <w:t>RADIO – AM</w:t>
            </w: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top w:val="single" w:sz="18" w:space="0" w:color="auto"/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WQAM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560</w:t>
            </w:r>
          </w:p>
        </w:tc>
        <w:tc>
          <w:tcPr>
            <w:tcW w:w="1781" w:type="dxa"/>
            <w:tcBorders>
              <w:top w:val="single" w:sz="18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WFWN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1240</w:t>
            </w:r>
          </w:p>
        </w:tc>
        <w:tc>
          <w:tcPr>
            <w:tcW w:w="1118" w:type="dxa"/>
            <w:tcBorders>
              <w:top w:val="single" w:sz="18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WAFC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590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WNOG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</w:t>
            </w:r>
            <w:bookmarkStart w:id="0" w:name="_GoBack"/>
            <w:bookmarkEnd w:id="0"/>
            <w:r w:rsidRPr="00A95120">
              <w:rPr>
                <w:rFonts w:cs="Arial"/>
                <w:sz w:val="22"/>
              </w:rPr>
              <w:t>270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WAQI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710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WCRM (Spanish)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1350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WJBX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770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WMYR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1410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WWBA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820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WWCL (Spanish)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1440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WINZ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940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WAFZ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1490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WKII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1070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WCCF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1580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  <w:tr w:rsidR="0008084C" w:rsidRPr="00A95120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WJUA</w:t>
            </w:r>
          </w:p>
        </w:tc>
        <w:tc>
          <w:tcPr>
            <w:tcW w:w="840" w:type="dxa"/>
            <w:tcBorders>
              <w:left w:val="nil"/>
              <w:bottom w:val="thinThickThinSmallGap" w:sz="24" w:space="0" w:color="auto"/>
            </w:tcBorders>
          </w:tcPr>
          <w:p w:rsidR="0008084C" w:rsidRPr="00A95120" w:rsidRDefault="0008084C" w:rsidP="0008084C">
            <w:pPr>
              <w:ind w:left="66"/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1200</w:t>
            </w:r>
          </w:p>
        </w:tc>
        <w:tc>
          <w:tcPr>
            <w:tcW w:w="1781" w:type="dxa"/>
            <w:tcBorders>
              <w:bottom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WCNZ</w:t>
            </w:r>
          </w:p>
        </w:tc>
        <w:tc>
          <w:tcPr>
            <w:tcW w:w="840" w:type="dxa"/>
            <w:tcBorders>
              <w:left w:val="nil"/>
              <w:bottom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  <w:r w:rsidRPr="00A95120">
              <w:rPr>
                <w:rFonts w:cs="Arial"/>
                <w:sz w:val="22"/>
              </w:rPr>
              <w:t>1660</w:t>
            </w:r>
          </w:p>
        </w:tc>
        <w:tc>
          <w:tcPr>
            <w:tcW w:w="1118" w:type="dxa"/>
            <w:tcBorders>
              <w:bottom w:val="thinThickThinSmallGap" w:sz="24" w:space="0" w:color="auto"/>
              <w:right w:val="nil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  <w:tc>
          <w:tcPr>
            <w:tcW w:w="747" w:type="dxa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08084C" w:rsidRPr="00A95120" w:rsidRDefault="0008084C" w:rsidP="0008084C">
            <w:pPr>
              <w:rPr>
                <w:rFonts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182"/>
        <w:gridCol w:w="3178"/>
      </w:tblGrid>
      <w:tr w:rsidR="003F1853" w:rsidRPr="00A95120" w:rsidTr="003F1853">
        <w:tc>
          <w:tcPr>
            <w:tcW w:w="334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1853" w:rsidRPr="00A95120" w:rsidRDefault="003F1853" w:rsidP="003F1853">
            <w:pPr>
              <w:jc w:val="center"/>
              <w:rPr>
                <w:rFonts w:cs="Arial"/>
                <w:szCs w:val="24"/>
              </w:rPr>
            </w:pPr>
            <w:r w:rsidRPr="00A95120">
              <w:rPr>
                <w:rFonts w:cs="Arial"/>
                <w:szCs w:val="24"/>
              </w:rPr>
              <w:t xml:space="preserve">South Florida Water </w:t>
            </w:r>
            <w:proofErr w:type="spellStart"/>
            <w:r w:rsidRPr="00A95120">
              <w:rPr>
                <w:rFonts w:cs="Arial"/>
                <w:szCs w:val="24"/>
              </w:rPr>
              <w:t>Mgmt</w:t>
            </w:r>
            <w:proofErr w:type="spellEnd"/>
            <w:r w:rsidRPr="00A95120">
              <w:rPr>
                <w:rFonts w:cs="Arial"/>
                <w:szCs w:val="24"/>
              </w:rPr>
              <w:t xml:space="preserve"> Dist.</w:t>
            </w:r>
          </w:p>
          <w:p w:rsidR="003F1853" w:rsidRPr="00A95120" w:rsidRDefault="003F1853" w:rsidP="003F1853">
            <w:pPr>
              <w:jc w:val="center"/>
              <w:rPr>
                <w:rFonts w:cs="Arial"/>
                <w:szCs w:val="24"/>
              </w:rPr>
            </w:pPr>
            <w:r w:rsidRPr="00A95120">
              <w:rPr>
                <w:rFonts w:cs="Arial"/>
                <w:szCs w:val="24"/>
              </w:rPr>
              <w:t>(800) 432-2045 (Florida only)</w:t>
            </w:r>
          </w:p>
        </w:tc>
        <w:tc>
          <w:tcPr>
            <w:tcW w:w="33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1853" w:rsidRPr="00A95120" w:rsidRDefault="003F1853" w:rsidP="003F1853">
            <w:pPr>
              <w:jc w:val="center"/>
              <w:rPr>
                <w:rFonts w:cs="Arial"/>
                <w:szCs w:val="24"/>
              </w:rPr>
            </w:pPr>
            <w:r w:rsidRPr="00A95120">
              <w:rPr>
                <w:rFonts w:cs="Arial"/>
                <w:szCs w:val="24"/>
              </w:rPr>
              <w:t>East County Water Control Dist.</w:t>
            </w:r>
          </w:p>
          <w:p w:rsidR="003F1853" w:rsidRPr="00A95120" w:rsidRDefault="003F1853" w:rsidP="003F1853">
            <w:pPr>
              <w:jc w:val="center"/>
              <w:rPr>
                <w:rFonts w:cs="Arial"/>
                <w:sz w:val="22"/>
              </w:rPr>
            </w:pPr>
            <w:r w:rsidRPr="00A95120">
              <w:rPr>
                <w:rFonts w:cs="Arial"/>
                <w:szCs w:val="24"/>
              </w:rPr>
              <w:t>(239) 368-0044</w:t>
            </w:r>
          </w:p>
        </w:tc>
      </w:tr>
    </w:tbl>
    <w:p w:rsidR="003F1853" w:rsidRPr="00A95120" w:rsidRDefault="003F1853" w:rsidP="0008084C">
      <w:pPr>
        <w:rPr>
          <w:rFonts w:cs="Arial"/>
          <w:b/>
          <w:szCs w:val="24"/>
          <w:u w:val="single"/>
        </w:rPr>
      </w:pPr>
    </w:p>
    <w:p w:rsidR="003F1853" w:rsidRPr="00A95120" w:rsidRDefault="003F1853" w:rsidP="0008084C">
      <w:pPr>
        <w:rPr>
          <w:rFonts w:cs="Arial"/>
          <w:b/>
          <w:szCs w:val="24"/>
          <w:u w:val="single"/>
        </w:rPr>
      </w:pPr>
    </w:p>
    <w:p w:rsidR="003F1853" w:rsidRPr="00A95120" w:rsidRDefault="003F1853" w:rsidP="0008084C">
      <w:pPr>
        <w:rPr>
          <w:rFonts w:cs="Arial"/>
          <w:b/>
          <w:szCs w:val="24"/>
          <w:u w:val="single"/>
        </w:rPr>
      </w:pPr>
    </w:p>
    <w:p w:rsidR="003F1853" w:rsidRPr="00A95120" w:rsidRDefault="003F1853" w:rsidP="0008084C">
      <w:pPr>
        <w:rPr>
          <w:rFonts w:cs="Arial"/>
          <w:b/>
          <w:szCs w:val="24"/>
          <w:u w:val="single"/>
        </w:rPr>
      </w:pPr>
    </w:p>
    <w:p w:rsidR="006E22B9" w:rsidRPr="00A95120" w:rsidRDefault="006E22B9" w:rsidP="0008084C">
      <w:pPr>
        <w:rPr>
          <w:rFonts w:cs="Arial"/>
          <w:b/>
          <w:szCs w:val="24"/>
          <w:u w:val="single"/>
        </w:rPr>
      </w:pPr>
      <w:r w:rsidRPr="00A95120">
        <w:rPr>
          <w:rFonts w:cs="Arial"/>
          <w:b/>
          <w:szCs w:val="24"/>
          <w:u w:val="single"/>
        </w:rPr>
        <w:t>NOAA Weather Radio</w:t>
      </w:r>
    </w:p>
    <w:p w:rsidR="006E22B9" w:rsidRPr="00A95120" w:rsidRDefault="006E22B9" w:rsidP="006E22B9">
      <w:pPr>
        <w:rPr>
          <w:rFonts w:cs="Arial"/>
          <w:szCs w:val="24"/>
        </w:rPr>
      </w:pPr>
      <w:r w:rsidRPr="00A95120">
        <w:rPr>
          <w:rFonts w:cs="Arial"/>
          <w:szCs w:val="24"/>
        </w:rPr>
        <w:t>NOAA Weather Radios provide 24-hour continuous broadcasting of current and forecasted weather conditions.  The following are the identification or FIPS codes for Lee and our adjoining counties:</w:t>
      </w:r>
    </w:p>
    <w:p w:rsidR="006E22B9" w:rsidRPr="00A95120" w:rsidRDefault="006E22B9" w:rsidP="006E22B9">
      <w:pPr>
        <w:jc w:val="center"/>
        <w:rPr>
          <w:rFonts w:cs="Arial"/>
          <w:szCs w:val="24"/>
        </w:rPr>
      </w:pPr>
      <w:r w:rsidRPr="00A95120">
        <w:rPr>
          <w:rFonts w:cs="Arial"/>
          <w:b/>
          <w:szCs w:val="24"/>
        </w:rPr>
        <w:t>Fort Myers Channel 4 (162.475 MHz) Lee – 012071</w:t>
      </w:r>
    </w:p>
    <w:p w:rsidR="006E22B9" w:rsidRPr="00A95120" w:rsidRDefault="006E22B9" w:rsidP="006E22B9">
      <w:pPr>
        <w:jc w:val="center"/>
        <w:rPr>
          <w:rFonts w:cs="Arial"/>
          <w:sz w:val="22"/>
        </w:rPr>
      </w:pPr>
      <w:r w:rsidRPr="00A95120">
        <w:rPr>
          <w:rFonts w:cs="Arial"/>
          <w:sz w:val="22"/>
        </w:rPr>
        <w:t>Collier –012021, Desoto – 012027, Charlotte – 012015, Hendry – 012051</w:t>
      </w:r>
    </w:p>
    <w:p w:rsidR="00207BF6" w:rsidRPr="00A95120" w:rsidRDefault="00207BF6" w:rsidP="00207BF6">
      <w:pPr>
        <w:contextualSpacing/>
        <w:jc w:val="both"/>
        <w:rPr>
          <w:rFonts w:eastAsia="Times New Roman" w:cs="Arial"/>
          <w:b/>
          <w:szCs w:val="24"/>
        </w:rPr>
      </w:pPr>
    </w:p>
    <w:p w:rsidR="00207BF6" w:rsidRPr="00A95120" w:rsidRDefault="00207BF6" w:rsidP="00207BF6">
      <w:pPr>
        <w:contextualSpacing/>
        <w:jc w:val="both"/>
        <w:rPr>
          <w:rFonts w:eastAsia="Times New Roman" w:cs="Arial"/>
          <w:szCs w:val="24"/>
        </w:rPr>
      </w:pPr>
      <w:r w:rsidRPr="00A95120">
        <w:rPr>
          <w:rFonts w:eastAsia="Times New Roman" w:cs="Arial"/>
          <w:b/>
          <w:szCs w:val="24"/>
        </w:rPr>
        <w:t>WGCU-90.1FM</w:t>
      </w:r>
      <w:r w:rsidRPr="00A95120">
        <w:rPr>
          <w:rFonts w:eastAsia="Times New Roman" w:cs="Arial"/>
          <w:szCs w:val="24"/>
        </w:rPr>
        <w:t xml:space="preserve"> is the Southwest Florida affiliate of the Florida Public Radio Emergency Network, a system created to communicate information statewide before, during and after an emergency. </w:t>
      </w:r>
    </w:p>
    <w:p w:rsidR="00207BF6" w:rsidRPr="00A95120" w:rsidRDefault="00207BF6" w:rsidP="00207BF6">
      <w:pPr>
        <w:contextualSpacing/>
        <w:jc w:val="both"/>
        <w:rPr>
          <w:rFonts w:eastAsia="Times New Roman" w:cs="Arial"/>
          <w:szCs w:val="24"/>
        </w:rPr>
      </w:pPr>
    </w:p>
    <w:p w:rsidR="00CB5FB0" w:rsidRPr="00A95120" w:rsidRDefault="00207BF6" w:rsidP="00207BF6">
      <w:pPr>
        <w:jc w:val="both"/>
        <w:rPr>
          <w:rFonts w:eastAsia="Times New Roman" w:cs="Arial"/>
          <w:szCs w:val="24"/>
        </w:rPr>
      </w:pPr>
      <w:proofErr w:type="gramStart"/>
      <w:r w:rsidRPr="00A95120">
        <w:rPr>
          <w:rFonts w:eastAsia="Times New Roman" w:cs="Arial"/>
          <w:szCs w:val="24"/>
        </w:rPr>
        <w:t>Stations in the network are equipped to stay on the air even during power outages and will continue to provide information during the recovery of a major weather event or other emergency.</w:t>
      </w:r>
      <w:proofErr w:type="gramEnd"/>
      <w:r w:rsidRPr="00A95120">
        <w:rPr>
          <w:rFonts w:eastAsia="Times New Roman" w:cs="Arial"/>
          <w:szCs w:val="24"/>
        </w:rPr>
        <w:t xml:space="preserve"> Working in partnership with the Florida Division of Emergency Management and the Lee County Emergency Operations Centers, listeners </w:t>
      </w:r>
      <w:proofErr w:type="gramStart"/>
      <w:r w:rsidRPr="00A95120">
        <w:rPr>
          <w:rFonts w:eastAsia="Times New Roman" w:cs="Arial"/>
          <w:szCs w:val="24"/>
        </w:rPr>
        <w:t>can be assured</w:t>
      </w:r>
      <w:proofErr w:type="gramEnd"/>
      <w:r w:rsidRPr="00A95120">
        <w:rPr>
          <w:rFonts w:eastAsia="Times New Roman" w:cs="Arial"/>
          <w:szCs w:val="24"/>
        </w:rPr>
        <w:t xml:space="preserve"> of having access to the most up-to-date information</w:t>
      </w:r>
      <w:r w:rsidR="006E164C" w:rsidRPr="00A95120">
        <w:rPr>
          <w:rFonts w:eastAsia="Times New Roman" w:cs="Arial"/>
          <w:szCs w:val="24"/>
        </w:rPr>
        <w:t>.</w:t>
      </w:r>
    </w:p>
    <w:p w:rsidR="00207BF6" w:rsidRPr="00A95120" w:rsidRDefault="00207BF6" w:rsidP="00207BF6">
      <w:pPr>
        <w:jc w:val="both"/>
        <w:rPr>
          <w:rFonts w:cs="Arial"/>
          <w:sz w:val="22"/>
        </w:rPr>
      </w:pPr>
    </w:p>
    <w:sectPr w:rsidR="00207BF6" w:rsidRPr="00A95120" w:rsidSect="00096D15">
      <w:headerReference w:type="default" r:id="rId8"/>
      <w:footerReference w:type="default" r:id="rId9"/>
      <w:pgSz w:w="15120" w:h="16560"/>
      <w:pgMar w:top="1170" w:right="720" w:bottom="720" w:left="720" w:header="270" w:footer="720" w:gutter="0"/>
      <w:paperSrc w:first="256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2F" w:rsidRDefault="00BF452F" w:rsidP="006B007A">
      <w:r>
        <w:separator/>
      </w:r>
    </w:p>
  </w:endnote>
  <w:endnote w:type="continuationSeparator" w:id="0">
    <w:p w:rsidR="00BF452F" w:rsidRDefault="00BF452F" w:rsidP="006B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9A" w:rsidRPr="0033799A" w:rsidRDefault="00FA09DC" w:rsidP="0033799A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2F" w:rsidRDefault="00BF452F" w:rsidP="006B007A">
      <w:r>
        <w:separator/>
      </w:r>
    </w:p>
  </w:footnote>
  <w:footnote w:type="continuationSeparator" w:id="0">
    <w:p w:rsidR="00BF452F" w:rsidRDefault="00BF452F" w:rsidP="006B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8F" w:rsidRPr="00A95120" w:rsidRDefault="00096D15" w:rsidP="00A95120">
    <w:pPr>
      <w:rPr>
        <w:sz w:val="52"/>
        <w:szCs w:val="52"/>
      </w:rPr>
    </w:pPr>
    <w:r w:rsidRPr="00A95120">
      <w:rPr>
        <w:sz w:val="52"/>
        <w:szCs w:val="52"/>
      </w:rPr>
      <w:t>Media &amp; Preparedness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A"/>
    <w:rsid w:val="00036E53"/>
    <w:rsid w:val="0008084C"/>
    <w:rsid w:val="00096D15"/>
    <w:rsid w:val="0011263E"/>
    <w:rsid w:val="00207BF6"/>
    <w:rsid w:val="0033799A"/>
    <w:rsid w:val="00367A99"/>
    <w:rsid w:val="003A030C"/>
    <w:rsid w:val="003E70E2"/>
    <w:rsid w:val="003F1853"/>
    <w:rsid w:val="00472B5F"/>
    <w:rsid w:val="00472FE6"/>
    <w:rsid w:val="004A78A3"/>
    <w:rsid w:val="004B668F"/>
    <w:rsid w:val="0050289E"/>
    <w:rsid w:val="00622B44"/>
    <w:rsid w:val="00690B36"/>
    <w:rsid w:val="006B007A"/>
    <w:rsid w:val="006E164C"/>
    <w:rsid w:val="006E1B06"/>
    <w:rsid w:val="006E22B9"/>
    <w:rsid w:val="0081398B"/>
    <w:rsid w:val="00943A45"/>
    <w:rsid w:val="00993663"/>
    <w:rsid w:val="00A95120"/>
    <w:rsid w:val="00A96E34"/>
    <w:rsid w:val="00AD1022"/>
    <w:rsid w:val="00B02258"/>
    <w:rsid w:val="00B444EA"/>
    <w:rsid w:val="00B459CC"/>
    <w:rsid w:val="00BF452F"/>
    <w:rsid w:val="00C03F10"/>
    <w:rsid w:val="00C51C34"/>
    <w:rsid w:val="00C60A9A"/>
    <w:rsid w:val="00CB5FB0"/>
    <w:rsid w:val="00D90670"/>
    <w:rsid w:val="00DA0855"/>
    <w:rsid w:val="00FA09DC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0EC3F7FE-C50E-4F11-8226-0641504B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7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07A"/>
  </w:style>
  <w:style w:type="paragraph" w:styleId="Footer">
    <w:name w:val="footer"/>
    <w:basedOn w:val="Normal"/>
    <w:link w:val="FooterChar"/>
    <w:uiPriority w:val="99"/>
    <w:unhideWhenUsed/>
    <w:rsid w:val="006B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07A"/>
  </w:style>
  <w:style w:type="paragraph" w:styleId="BalloonText">
    <w:name w:val="Balloon Text"/>
    <w:basedOn w:val="Normal"/>
    <w:link w:val="BalloonTextChar"/>
    <w:uiPriority w:val="99"/>
    <w:semiHidden/>
    <w:unhideWhenUsed/>
    <w:rsid w:val="006B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07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BF8D3-1F48-407A-B392-A45EFCE2B2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A82B2-33BE-4699-A9EF-4405C0C915B3}"/>
</file>

<file path=customXml/itemProps4.xml><?xml version="1.0" encoding="utf-8"?>
<ds:datastoreItem xmlns:ds="http://schemas.openxmlformats.org/officeDocument/2006/customXml" ds:itemID="{D8539B13-996A-4B11-8B6A-636C71249250}"/>
</file>

<file path=customXml/itemProps5.xml><?xml version="1.0" encoding="utf-8"?>
<ds:datastoreItem xmlns:ds="http://schemas.openxmlformats.org/officeDocument/2006/customXml" ds:itemID="{636340BE-4C27-4551-BC98-16EDB8BDC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Resource &amp; Emergency Preparedness</vt:lpstr>
    </vt:vector>
  </TitlesOfParts>
  <Company>Lee County BOCC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Resource &amp; Emergency Preparedness</dc:title>
  <dc:creator>EOCGuest</dc:creator>
  <cp:lastModifiedBy>Engstrom, Timothy</cp:lastModifiedBy>
  <cp:revision>2</cp:revision>
  <cp:lastPrinted>2018-03-15T15:11:00Z</cp:lastPrinted>
  <dcterms:created xsi:type="dcterms:W3CDTF">2018-04-10T18:38:00Z</dcterms:created>
  <dcterms:modified xsi:type="dcterms:W3CDTF">2018-04-10T18:38:00Z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